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Red Eagle™ wlatuje na wyższy poziom. 240 Hz w Full HD, 200 Hz w QHD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ponownie podnosi poprzeczkę w segmencie gamingowych monitorów. Seria G-Master Red Eagle™ przeskakuje ze 180 na imponujące 240 Hz w Full HD i 200 Hz w QHD, oferując nowy poziom płynności i precyzji, jakiego oczekują profesjonalni gracze. To również pierwsze monitory iiyama z pełną zgodnością z NVIDIA G-SYNC, nowym czasem reakcji 0,3-0,5 ms MPRT i portami USB-C z zasilaniem.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Szybkość, która daje przewagę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Nowe modele z rodziny </w:t>
      </w:r>
      <w:r>
        <w:rPr>
          <w:rFonts w:ascii="calibri" w:hAnsi="calibri" w:eastAsia="calibri" w:cs="calibri"/>
          <w:sz w:val="24"/>
          <w:szCs w:val="24"/>
          <w:b/>
        </w:rPr>
        <w:t xml:space="preserve">Red Eagle™</w:t>
      </w:r>
      <w:r>
        <w:rPr>
          <w:rFonts w:ascii="calibri" w:hAnsi="calibri" w:eastAsia="calibri" w:cs="calibri"/>
          <w:sz w:val="24"/>
          <w:szCs w:val="24"/>
        </w:rPr>
        <w:t xml:space="preserve">, w tym </w:t>
      </w:r>
      <w:r>
        <w:rPr>
          <w:rFonts w:ascii="calibri" w:hAnsi="calibri" w:eastAsia="calibri" w:cs="calibri"/>
          <w:sz w:val="24"/>
          <w:szCs w:val="24"/>
          <w:b/>
        </w:rPr>
        <w:t xml:space="preserve">GB2471HSU-B1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GB2771QSU-B1</w:t>
      </w:r>
      <w:r>
        <w:rPr>
          <w:rFonts w:ascii="calibri" w:hAnsi="calibri" w:eastAsia="calibri" w:cs="calibri"/>
          <w:sz w:val="24"/>
          <w:szCs w:val="24"/>
        </w:rPr>
        <w:t xml:space="preserve">, zaprojektowano z myślą o graczach, dla których liczy się każda klatka. Zastosowane matryce </w:t>
      </w:r>
      <w:r>
        <w:rPr>
          <w:rFonts w:ascii="calibri" w:hAnsi="calibri" w:eastAsia="calibri" w:cs="calibri"/>
          <w:sz w:val="24"/>
          <w:szCs w:val="24"/>
          <w:b/>
        </w:rPr>
        <w:t xml:space="preserve">IPS</w:t>
      </w:r>
      <w:r>
        <w:rPr>
          <w:rFonts w:ascii="calibri" w:hAnsi="calibri" w:eastAsia="calibri" w:cs="calibri"/>
          <w:sz w:val="24"/>
          <w:szCs w:val="24"/>
        </w:rPr>
        <w:t xml:space="preserve"> zapewniają nie tylko ekstremalną responsywność, ale charakteryzują się również doskonałym odwzorowaniem kolorów (100% pokrycie sRGB) i szerokimi kątami widzenia.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praktyce oznacza to, że decydując się na zakup nowego 24- lub 27-calowego modelu </w:t>
      </w:r>
      <w:r>
        <w:rPr>
          <w:rFonts w:ascii="calibri" w:hAnsi="calibri" w:eastAsia="calibri" w:cs="calibri"/>
          <w:sz w:val="24"/>
          <w:szCs w:val="24"/>
          <w:b/>
        </w:rPr>
        <w:t xml:space="preserve">Red Eagle™ </w:t>
      </w:r>
      <w:r>
        <w:rPr>
          <w:rFonts w:ascii="calibri" w:hAnsi="calibri" w:eastAsia="calibri" w:cs="calibri"/>
          <w:sz w:val="24"/>
          <w:szCs w:val="24"/>
        </w:rPr>
        <w:t xml:space="preserve">w rozdzielczości Full HD, gracze mogą liczyć na odświeżanie na poziomie aż 240 Hz, a w przypadku 27-calowych monitorów QHD - 200 Hz. W połączeniu z superszybkim czasem reakcji (0,3-0,5 ms MPRT) i certyfikatem NVIDIA G-SYNC Compatible daje to obraz pozbawiony smużenia i rozrywania - idealny dla fanów dynamicznych tytułów e-sportowych.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Funkcja Black Tuner</w:t>
      </w:r>
      <w:r>
        <w:rPr>
          <w:rFonts w:ascii="calibri" w:hAnsi="calibri" w:eastAsia="calibri" w:cs="calibri"/>
          <w:sz w:val="24"/>
          <w:szCs w:val="24"/>
        </w:rPr>
        <w:t xml:space="preserve"> poprawia widoczność w ciemnych scenach, a zestaw portów USB-A i USB-C z opcją ładowania zwiększa funkcjonalność monitora w codziennym użytkowaniu.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Nowe modele z serii </w:t>
      </w:r>
      <w:r>
        <w:rPr>
          <w:rFonts w:ascii="calibri" w:hAnsi="calibri" w:eastAsia="calibri" w:cs="calibri"/>
          <w:sz w:val="24"/>
          <w:szCs w:val="24"/>
          <w:b/>
        </w:rPr>
        <w:t xml:space="preserve">Red Eagle™</w:t>
      </w:r>
      <w:r>
        <w:rPr>
          <w:rFonts w:ascii="calibri" w:hAnsi="calibri" w:eastAsia="calibri" w:cs="calibri"/>
          <w:sz w:val="24"/>
          <w:szCs w:val="24"/>
        </w:rPr>
        <w:t xml:space="preserve"> są już dostępne w sprzedaży w bardzo atrakcyjnych cenach zaczynających się od 469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2026-02-24T08:39:06+01:00</dcterms:created>
  <dcterms:modified xsi:type="dcterms:W3CDTF">2026-02-24T08:39:06+01:00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